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5E69B8BE" w:rsidR="00A70556" w:rsidRDefault="000B5361" w:rsidP="0034573D">
            <w:pPr>
              <w:spacing w:after="0" w:line="276" w:lineRule="auto"/>
            </w:pPr>
            <w:r>
              <w:t>Acciones para el Desarrollo Pecuario</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0B5361" w14:paraId="1D014C1E" w14:textId="77777777" w:rsidTr="009F4211">
        <w:trPr>
          <w:trHeight w:val="340"/>
        </w:trPr>
        <w:tc>
          <w:tcPr>
            <w:tcW w:w="4712" w:type="dxa"/>
            <w:gridSpan w:val="2"/>
            <w:vAlign w:val="center"/>
          </w:tcPr>
          <w:p w14:paraId="404D8B68" w14:textId="3110E3CF" w:rsidR="00B861E0" w:rsidRPr="000B5361" w:rsidRDefault="000B5361" w:rsidP="00A123E6">
            <w:pPr>
              <w:spacing w:after="0" w:line="276" w:lineRule="auto"/>
              <w:jc w:val="center"/>
            </w:pPr>
            <w:r w:rsidRPr="000B5361">
              <w:t>01/01/2026</w:t>
            </w:r>
          </w:p>
        </w:tc>
        <w:tc>
          <w:tcPr>
            <w:tcW w:w="5206" w:type="dxa"/>
            <w:gridSpan w:val="2"/>
            <w:vAlign w:val="center"/>
          </w:tcPr>
          <w:p w14:paraId="79E9E4F4" w14:textId="7F7655E3" w:rsidR="00B861E0" w:rsidRPr="000B5361" w:rsidRDefault="000B5361" w:rsidP="00A123E6">
            <w:pPr>
              <w:spacing w:after="0" w:line="276" w:lineRule="auto"/>
              <w:jc w:val="center"/>
            </w:pPr>
            <w:r w:rsidRPr="000B5361">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0B5361" w14:paraId="37454C6A" w14:textId="77777777" w:rsidTr="00E06043">
        <w:trPr>
          <w:trHeight w:val="340"/>
        </w:trPr>
        <w:tc>
          <w:tcPr>
            <w:tcW w:w="9918" w:type="dxa"/>
            <w:gridSpan w:val="4"/>
          </w:tcPr>
          <w:p w14:paraId="78C4F704" w14:textId="024712E0" w:rsidR="009F4211" w:rsidRPr="000B5361" w:rsidRDefault="000B5361" w:rsidP="009F4211">
            <w:pPr>
              <w:pStyle w:val="Prrafodelista"/>
              <w:spacing w:after="0" w:line="276" w:lineRule="auto"/>
              <w:ind w:left="37"/>
              <w:jc w:val="both"/>
            </w:pPr>
            <w:r w:rsidRPr="000B5361">
              <w:t>Dr. Juan de Dios Trujillo, Director de Valor Agregado</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2487B81" w:rsidR="00B920F2" w:rsidRDefault="000B5361" w:rsidP="00521401">
      <w:pPr>
        <w:pStyle w:val="Prrafodelista"/>
        <w:spacing w:after="0" w:line="276" w:lineRule="auto"/>
        <w:ind w:left="142"/>
        <w:jc w:val="both"/>
      </w:pPr>
      <w:r w:rsidRPr="000B5361">
        <w:t>Contar con una valoración del desempeño de F071 Acciones para el Desarrollo Pecuario en su ejercicio fiscal 2024,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1608968" w14:textId="77777777" w:rsidR="000B5361" w:rsidRDefault="000B5361" w:rsidP="000B5361">
      <w:pPr>
        <w:pStyle w:val="Prrafodelista"/>
        <w:numPr>
          <w:ilvl w:val="0"/>
          <w:numId w:val="2"/>
        </w:numPr>
        <w:spacing w:after="0" w:line="276" w:lineRule="auto"/>
        <w:jc w:val="both"/>
      </w:pPr>
      <w:r>
        <w:t>Reportar los resultados y productos de los programas evaluados durante el ejercicio fiscal 2024 y enlistados en el Anexo II, mediante el análisis de los indicadores de resultados, de los indicadores de servicios y gestión, así como de los hallazgos relevantes derivados de evaluaciones previas (en caso de aplicar) y otros documentos del programa;</w:t>
      </w:r>
    </w:p>
    <w:p w14:paraId="7F8433DE" w14:textId="77777777" w:rsidR="000B5361" w:rsidRDefault="000B5361" w:rsidP="000B5361">
      <w:pPr>
        <w:pStyle w:val="Prrafodelista"/>
        <w:numPr>
          <w:ilvl w:val="0"/>
          <w:numId w:val="2"/>
        </w:numPr>
        <w:spacing w:after="0" w:line="276" w:lineRule="auto"/>
        <w:jc w:val="both"/>
      </w:pPr>
      <w:r>
        <w:t>Analizar el avance de las metas de los indicadores de la Matriz de Indicadores para Resultados (MIR) en el ejercicio fiscal 2024, respecto de años anteriores y el avance en relación con las metas establecidas;</w:t>
      </w:r>
    </w:p>
    <w:p w14:paraId="0DC6CABB" w14:textId="77777777" w:rsidR="000B5361" w:rsidRDefault="000B5361" w:rsidP="000B5361">
      <w:pPr>
        <w:pStyle w:val="Prrafodelista"/>
        <w:numPr>
          <w:ilvl w:val="0"/>
          <w:numId w:val="2"/>
        </w:numPr>
        <w:spacing w:after="0" w:line="276" w:lineRule="auto"/>
        <w:jc w:val="both"/>
      </w:pPr>
      <w:r>
        <w:t>Identificar los principales aspectos susceptibles de mejora del programa;</w:t>
      </w:r>
    </w:p>
    <w:p w14:paraId="1E5C1DCF" w14:textId="77777777" w:rsidR="000B5361" w:rsidRDefault="000B5361" w:rsidP="000B5361">
      <w:pPr>
        <w:pStyle w:val="Prrafodelista"/>
        <w:numPr>
          <w:ilvl w:val="0"/>
          <w:numId w:val="2"/>
        </w:numPr>
        <w:spacing w:after="0" w:line="276" w:lineRule="auto"/>
        <w:jc w:val="both"/>
      </w:pPr>
      <w:r>
        <w:t>Analizar la evolución de la cobertura y el presupuesto del programa;</w:t>
      </w:r>
    </w:p>
    <w:p w14:paraId="4EF058AD" w14:textId="77777777" w:rsidR="000B5361" w:rsidRDefault="000B5361" w:rsidP="000B5361">
      <w:pPr>
        <w:pStyle w:val="Prrafodelista"/>
        <w:numPr>
          <w:ilvl w:val="0"/>
          <w:numId w:val="2"/>
        </w:numPr>
        <w:spacing w:after="0" w:line="276" w:lineRule="auto"/>
        <w:jc w:val="both"/>
      </w:pPr>
      <w:r>
        <w:t>Identificar las fortalezas, los retos y las recomendaciones del programa;</w:t>
      </w:r>
    </w:p>
    <w:p w14:paraId="7586D3D0" w14:textId="77777777" w:rsidR="000B5361" w:rsidRDefault="000B5361" w:rsidP="000B5361">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F2715CB"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0B5361">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4C913CE" w:rsidR="00581B4A" w:rsidRPr="00581B4A" w:rsidRDefault="00EC7832" w:rsidP="00090637">
            <w:pPr>
              <w:spacing w:after="0" w:line="276" w:lineRule="auto"/>
              <w:jc w:val="center"/>
              <w:rPr>
                <w:b/>
                <w:bCs/>
              </w:rPr>
            </w:pPr>
            <w:r>
              <w:t>d</w:t>
            </w:r>
            <w:r w:rsidR="0034573D">
              <w:t xml:space="preserve">e </w:t>
            </w:r>
            <w:r w:rsidR="000B5361">
              <w:t>Desempeño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02A19BB" w14:textId="39BC340E" w:rsidR="000B5361" w:rsidRDefault="000B5361" w:rsidP="000B5361">
      <w:pPr>
        <w:ind w:left="284"/>
        <w:jc w:val="both"/>
      </w:pPr>
      <w:r>
        <w:t>El Pp F071 atendió a 4,299 productores pecuarios en alrededor de los 20 municipios del Estado de Sinaloa, a</w:t>
      </w:r>
      <w:r w:rsidR="008C037A">
        <w:t>poyó</w:t>
      </w:r>
      <w:r>
        <w:t xml:space="preserve"> a 3,943 productores con la adquisición de pacas de forraje y/o suplemento para la alimentación de ganado, </w:t>
      </w:r>
      <w:r w:rsidR="008C037A">
        <w:t xml:space="preserve">así como </w:t>
      </w:r>
      <w:r>
        <w:t xml:space="preserve">a 70 productores </w:t>
      </w:r>
      <w:r w:rsidR="008C037A">
        <w:t>mediante e</w:t>
      </w:r>
      <w:r>
        <w:t>l programa Emergente para los Ganaderos de Tepuche, siendo un total de 8,312 productores pecuarios atendidos. Lo anterior, con el objetivo de contribuir a mejorar la viabilidad económica de los productores pecuarios del estado mediante acciones integrales de fomento productivo, fortalecimiento sanitario y atención a contingencias. Lo anterior impulsando el mejoramiento genético del hato bovino, ovino y caprino; fortaleciendo la infraestructura y equipamiento pecuario; apoyando a productores en periodos de estiaje; reduciendo la prevalencia de enfermedades como tuberculosis y brucelosis; y fortaleciendo la infraestructura y tecnificando de las casetas de inspección zoosanitaria.</w:t>
      </w:r>
    </w:p>
    <w:p w14:paraId="67964E35" w14:textId="3656850D" w:rsidR="000B5361" w:rsidRPr="002F6A18" w:rsidRDefault="000B5361" w:rsidP="000B5361">
      <w:pPr>
        <w:ind w:left="284"/>
        <w:jc w:val="both"/>
      </w:pPr>
      <w:r>
        <w:t xml:space="preserve">Por otro lado, donde se presentó una mayor cobertura fue en los municipios de Badiraguato, Choix, El Fuerte, Elota, Mazatlán, Sinaloa, Mocorito y Culiacán; en contraste con los municipios de Juan José Ríos, Eldorado Angostura, Concordia, Navolato y Guasave, </w:t>
      </w:r>
      <w:r w:rsidR="008C037A">
        <w:t xml:space="preserve">localizados en la región costera, en </w:t>
      </w:r>
      <w:r>
        <w:t xml:space="preserve">los cuales </w:t>
      </w:r>
      <w:r w:rsidR="008C037A">
        <w:t>hubo</w:t>
      </w:r>
      <w:r>
        <w:t xml:space="preserve"> menor cobertura, sin embargo, </w:t>
      </w:r>
      <w:r w:rsidR="008C037A">
        <w:t xml:space="preserve">se atiende a productores de </w:t>
      </w:r>
      <w:r>
        <w:t>todo el estado de Sinaloa.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7F7F0512" w:rsidR="00B72B03" w:rsidRDefault="00B72B03" w:rsidP="00975299">
      <w:pPr>
        <w:pStyle w:val="Prrafodelista"/>
        <w:numPr>
          <w:ilvl w:val="2"/>
          <w:numId w:val="5"/>
        </w:numPr>
        <w:spacing w:after="0" w:line="276" w:lineRule="auto"/>
        <w:ind w:left="993" w:hanging="567"/>
        <w:jc w:val="both"/>
        <w:rPr>
          <w:b/>
          <w:bCs/>
        </w:rPr>
      </w:pPr>
      <w:r>
        <w:rPr>
          <w:b/>
          <w:bCs/>
        </w:rPr>
        <w:t>Fortalezas</w:t>
      </w:r>
      <w:r w:rsidR="000B5361">
        <w:rPr>
          <w:b/>
          <w:bCs/>
        </w:rPr>
        <w:t>:</w:t>
      </w:r>
    </w:p>
    <w:p w14:paraId="766C4C87" w14:textId="77777777" w:rsidR="000B5361" w:rsidRDefault="000B5361" w:rsidP="000B5361">
      <w:pPr>
        <w:pStyle w:val="Prrafodelista"/>
        <w:numPr>
          <w:ilvl w:val="0"/>
          <w:numId w:val="8"/>
        </w:numPr>
        <w:spacing w:line="276" w:lineRule="auto"/>
      </w:pPr>
      <w:r>
        <w:t>El Pp contribuye al cumplimiento de sus objetivos y al fortalecimiento del subsector pecuario en el Estado de Sinaloa.</w:t>
      </w:r>
    </w:p>
    <w:p w14:paraId="33C0DCDE" w14:textId="247CC970" w:rsidR="000B5361" w:rsidRDefault="008C037A" w:rsidP="000B5361">
      <w:pPr>
        <w:pStyle w:val="Prrafodelista"/>
        <w:numPr>
          <w:ilvl w:val="0"/>
          <w:numId w:val="8"/>
        </w:numPr>
        <w:spacing w:line="276" w:lineRule="auto"/>
      </w:pPr>
      <w:r>
        <w:t>M</w:t>
      </w:r>
      <w:r w:rsidR="000B5361">
        <w:t>uestra alta capacidad operativa y cobertura efectiva, lo cual se refleja en el indicador principal de resultados, donde la población atendida supera</w:t>
      </w:r>
      <w:r>
        <w:t>,</w:t>
      </w:r>
      <w:r w:rsidR="000B5361">
        <w:t xml:space="preserve"> </w:t>
      </w:r>
      <w:r>
        <w:t>en general,</w:t>
      </w:r>
      <w:r w:rsidR="000B5361">
        <w:t xml:space="preserve"> las metas programadas en los programas finalmente autorizados</w:t>
      </w:r>
      <w:r>
        <w:t xml:space="preserve"> para su ejercicio anual</w:t>
      </w:r>
      <w:r w:rsidR="000B5361">
        <w:t xml:space="preserve">. </w:t>
      </w:r>
    </w:p>
    <w:p w14:paraId="08E5F403" w14:textId="5658340E" w:rsidR="000B5361" w:rsidRDefault="008C037A" w:rsidP="000B5361">
      <w:pPr>
        <w:pStyle w:val="Prrafodelista"/>
        <w:numPr>
          <w:ilvl w:val="0"/>
          <w:numId w:val="8"/>
        </w:numPr>
        <w:spacing w:line="276" w:lineRule="auto"/>
      </w:pPr>
      <w:r>
        <w:t>P</w:t>
      </w:r>
      <w:r w:rsidR="000B5361">
        <w:t>resenta coherencia entre el diagnóstico del problema público y los componentes del programa. Las acciones que se implementan —mejoramiento genético, apoyo ante sequía, sanidad animal y fortalecimiento de casetas zoosanitarias— están directamente alineadas con los principales factores que limitan la productividad del sector pecuario estatal.</w:t>
      </w:r>
    </w:p>
    <w:p w14:paraId="78CED5E0" w14:textId="77777777" w:rsidR="000B5361" w:rsidRDefault="000B5361" w:rsidP="000B5361">
      <w:pPr>
        <w:pStyle w:val="Prrafodelista"/>
        <w:numPr>
          <w:ilvl w:val="0"/>
          <w:numId w:val="8"/>
        </w:numPr>
        <w:spacing w:line="276" w:lineRule="auto"/>
      </w:pPr>
      <w:r>
        <w:t>Se cuenta con una MIR estructurada, con indicadores definidos, metas claras y métodos de cálculo establecidos, lo cual facilita el seguimiento y monitoreo de sus resultados. Los indicadores de gestión muestran niveles de cumplimiento cercanos a las metas programadas, lo que indica estabilidad operativa en la ejecución de los componentes.</w:t>
      </w:r>
    </w:p>
    <w:p w14:paraId="31EFFAD2" w14:textId="77777777" w:rsidR="000B5361" w:rsidRDefault="000B5361" w:rsidP="000B5361">
      <w:pPr>
        <w:pStyle w:val="Prrafodelista"/>
        <w:numPr>
          <w:ilvl w:val="0"/>
          <w:numId w:val="8"/>
        </w:numPr>
        <w:spacing w:line="276" w:lineRule="auto"/>
      </w:pPr>
      <w:r>
        <w:t>El programa se encuentra alineado con los objetivos estratégicos del Plan Estatal de Desarrollo 2022–2027, particularmente en lo relativo al fortalecimiento del sector agropecuario, la mejora de la productividad ganadera y la consolidación del enfoque de Presupuesto basado en Resultados.</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3E18970A" w14:textId="77777777" w:rsidR="000B5361" w:rsidRDefault="000B5361" w:rsidP="000B5361">
      <w:pPr>
        <w:pStyle w:val="Prrafodelista"/>
        <w:numPr>
          <w:ilvl w:val="0"/>
          <w:numId w:val="8"/>
        </w:numPr>
        <w:spacing w:line="276" w:lineRule="auto"/>
      </w:pPr>
      <w:r>
        <w:t>El entorno institucional y sectorial presenta diversas oportunidades que podrían fortalecer el impacto del programa en el mediano plazo.</w:t>
      </w:r>
    </w:p>
    <w:p w14:paraId="506727F5" w14:textId="4EED4D04" w:rsidR="000B5361" w:rsidRDefault="000B5361" w:rsidP="000B5361">
      <w:pPr>
        <w:pStyle w:val="Prrafodelista"/>
        <w:numPr>
          <w:ilvl w:val="0"/>
          <w:numId w:val="8"/>
        </w:numPr>
        <w:spacing w:line="276" w:lineRule="auto"/>
      </w:pPr>
      <w:r>
        <w:t>Fortalec</w:t>
      </w:r>
      <w:r w:rsidR="008C037A">
        <w:t>imiento de</w:t>
      </w:r>
      <w:r>
        <w:t xml:space="preserve"> la medición de resultados económicos del programa, incorporando indicadores que permitan evaluar el efecto de los apoyos en variables como productividad, ingreso de los </w:t>
      </w:r>
      <w:r>
        <w:lastRenderedPageBreak/>
        <w:t>productores o rentabilidad de las unidades de producción. Esto permitiría avanzar de una medición centrada en entrega de productos hacia una medición más robusta de resultados e impactos.</w:t>
      </w:r>
    </w:p>
    <w:p w14:paraId="2074CD3B" w14:textId="77777777" w:rsidR="000B5361" w:rsidRDefault="000B5361" w:rsidP="000B5361">
      <w:pPr>
        <w:pStyle w:val="Prrafodelista"/>
        <w:numPr>
          <w:ilvl w:val="0"/>
          <w:numId w:val="8"/>
        </w:numPr>
        <w:spacing w:line="276" w:lineRule="auto"/>
      </w:pPr>
      <w:r>
        <w:t>Implementación de evaluaciones de impacto o estudios especializados, que permitan identificar con mayor precisión los efectos causales del programa en el desempeño productivo del sector pecuario. Este tipo de evaluaciones contribuiría a fortalecer la evidencia sobre la efectividad de la intervención pública.</w:t>
      </w:r>
    </w:p>
    <w:p w14:paraId="3BF20123" w14:textId="15F9533F" w:rsidR="000B5361" w:rsidRDefault="000B5361" w:rsidP="000B5361">
      <w:pPr>
        <w:pStyle w:val="Prrafodelista"/>
        <w:numPr>
          <w:ilvl w:val="0"/>
          <w:numId w:val="8"/>
        </w:numPr>
        <w:spacing w:line="276" w:lineRule="auto"/>
      </w:pPr>
      <w:r>
        <w:t>Perfecciona</w:t>
      </w:r>
      <w:r w:rsidR="00514983">
        <w:t>miento de</w:t>
      </w:r>
      <w:r>
        <w:t xml:space="preserve"> la planeación de metas del programa, utilizando información histórica de demanda y capacidad operativa para establecer metas más realistas y retadoras, especialmente en el indicador de cobertura.</w:t>
      </w:r>
    </w:p>
    <w:p w14:paraId="4E22781A" w14:textId="77777777" w:rsidR="000B5361" w:rsidRDefault="000B5361" w:rsidP="000B5361">
      <w:pPr>
        <w:pStyle w:val="Prrafodelista"/>
        <w:numPr>
          <w:ilvl w:val="0"/>
          <w:numId w:val="8"/>
        </w:numPr>
        <w:spacing w:line="276" w:lineRule="auto"/>
      </w:pPr>
      <w:r>
        <w:t>Incorporación más explícita de la perspectiva de género, mediante la definición de metas e indicadores que permitan medir la participación de mujeres productoras y promover su inclusión en los apoyos productivos.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0D4016E1" w14:textId="77777777" w:rsidR="000B5361" w:rsidRDefault="000B5361" w:rsidP="000B5361">
      <w:pPr>
        <w:pStyle w:val="Prrafodelista"/>
        <w:numPr>
          <w:ilvl w:val="0"/>
          <w:numId w:val="8"/>
        </w:numPr>
        <w:spacing w:line="276" w:lineRule="auto"/>
      </w:pPr>
      <w:r>
        <w:t>La MIR se concentra principalmente en indicadores de productos, tales como la entrega de sementales, semillas o infraestructura, sin incorporar indicadores suficientes que permitan medir cambios en variables económicas o productivas de los beneficiarios.</w:t>
      </w:r>
    </w:p>
    <w:p w14:paraId="6EBA6DEF" w14:textId="77777777" w:rsidR="000B5361" w:rsidRDefault="000B5361" w:rsidP="000B5361">
      <w:pPr>
        <w:pStyle w:val="Prrafodelista"/>
        <w:numPr>
          <w:ilvl w:val="0"/>
          <w:numId w:val="8"/>
        </w:numPr>
        <w:spacing w:line="276" w:lineRule="auto"/>
      </w:pPr>
      <w:r>
        <w:t>Subestimación recurrente de metas en el indicador de cobertura, lo cual se evidencia en el hecho de que en varios ejercicios fiscales la población atendida ha superado ampliamente la meta programada. Esto sugiere la necesidad de fortalecer los procesos de planeación y estimación de metas.</w:t>
      </w:r>
    </w:p>
    <w:p w14:paraId="01184C82" w14:textId="405332CF" w:rsidR="000B5361" w:rsidRDefault="000B5361" w:rsidP="000B5361">
      <w:pPr>
        <w:pStyle w:val="Prrafodelista"/>
        <w:numPr>
          <w:ilvl w:val="0"/>
          <w:numId w:val="8"/>
        </w:numPr>
        <w:spacing w:line="276" w:lineRule="auto"/>
      </w:pPr>
      <w:r>
        <w:t xml:space="preserve">Ausencia de evaluaciones externas de impacto, lo cual limita la capacidad para </w:t>
      </w:r>
      <w:r w:rsidR="00514983">
        <w:t xml:space="preserve">relacionar </w:t>
      </w:r>
      <w:r>
        <w:t>de manera causal los resultados observados en el sector pecuario a la intervención del programa.</w:t>
      </w:r>
    </w:p>
    <w:p w14:paraId="1C3BD33F" w14:textId="77777777" w:rsidR="000B5361" w:rsidRDefault="000B5361" w:rsidP="000B5361">
      <w:pPr>
        <w:pStyle w:val="Prrafodelista"/>
        <w:numPr>
          <w:ilvl w:val="0"/>
          <w:numId w:val="8"/>
        </w:numPr>
        <w:spacing w:line="276" w:lineRule="auto"/>
      </w:pPr>
      <w:r>
        <w:t>El programa no cuenta con indicadores específicos relacionados con la participación de mujeres, lo cual limita el análisis del enfoque de género dentro de la política pública.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7386B911" w14:textId="77777777" w:rsidR="000B5361" w:rsidRDefault="000B5361" w:rsidP="000B5361">
      <w:pPr>
        <w:pStyle w:val="Prrafodelista"/>
        <w:numPr>
          <w:ilvl w:val="0"/>
          <w:numId w:val="8"/>
        </w:numPr>
        <w:spacing w:line="276" w:lineRule="auto"/>
      </w:pPr>
      <w:r>
        <w:t>Vulnerabilidad del sector pecuario ante fenómenos climáticos, particularmente los periodos recurrentes de sequía que afectan la disponibilidad de forraje y el rendimiento productivo del ganado.</w:t>
      </w:r>
    </w:p>
    <w:p w14:paraId="1276BE3C" w14:textId="77777777" w:rsidR="000B5361" w:rsidRDefault="000B5361" w:rsidP="000B5361">
      <w:pPr>
        <w:pStyle w:val="Prrafodelista"/>
        <w:numPr>
          <w:ilvl w:val="0"/>
          <w:numId w:val="8"/>
        </w:numPr>
        <w:spacing w:line="276" w:lineRule="auto"/>
      </w:pPr>
      <w:r>
        <w:t>El subsector pecuario enfrenta riesgos sanitarios permanentes, como la presencia de enfermedades de importancia económica (tuberculosis y brucelosis), lo cual puede afectar la productividad, la movilidad del ganado y el acceso a mercados.</w:t>
      </w:r>
    </w:p>
    <w:p w14:paraId="706CBD6A" w14:textId="77777777" w:rsidR="000B5361" w:rsidRDefault="000B5361" w:rsidP="000B5361">
      <w:pPr>
        <w:pStyle w:val="Prrafodelista"/>
        <w:numPr>
          <w:ilvl w:val="0"/>
          <w:numId w:val="8"/>
        </w:numPr>
        <w:spacing w:line="276" w:lineRule="auto"/>
      </w:pPr>
      <w:r>
        <w:t>Variabilidad presupuestal del gasto público, ya que los recursos asignados a los programas de fomento productivo pueden verse afectados por restricciones fiscales o cambios en las prioridades de política pública.</w:t>
      </w:r>
    </w:p>
    <w:p w14:paraId="16AB7F80" w14:textId="77777777" w:rsidR="000B5361" w:rsidRDefault="000B5361" w:rsidP="000B5361">
      <w:pPr>
        <w:pStyle w:val="Prrafodelista"/>
        <w:numPr>
          <w:ilvl w:val="0"/>
          <w:numId w:val="8"/>
        </w:numPr>
        <w:spacing w:line="276" w:lineRule="auto"/>
      </w:pPr>
      <w:r>
        <w:t>Limitaciones estructurales, como acceso limitado a financiamiento, baja adopción tecnológica y dificultades para integrarse a cadenas de valor, lo cual puede reducir el impacto potencial de los apoyos otorgados.</w:t>
      </w:r>
    </w:p>
    <w:p w14:paraId="30BA35DA" w14:textId="4C470BDE" w:rsidR="000B5361" w:rsidRDefault="000B5361">
      <w:pPr>
        <w:spacing w:after="0" w:line="240" w:lineRule="auto"/>
      </w:pPr>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93CDA4B" w14:textId="52D0F64E" w:rsidR="000B5361" w:rsidRPr="000B5361" w:rsidRDefault="000B5361" w:rsidP="000B5361">
      <w:pPr>
        <w:spacing w:after="0" w:line="276" w:lineRule="auto"/>
        <w:ind w:left="284"/>
        <w:jc w:val="both"/>
        <w:rPr>
          <w:lang w:val="es-ES"/>
        </w:rPr>
      </w:pPr>
      <w:r w:rsidRPr="000B5361">
        <w:rPr>
          <w:lang w:val="es-ES"/>
        </w:rPr>
        <w:t>En términos generales la información disponible fue suficiente para analizar el desempeño operativo del programa, particularmente en el cumplimiento de metas, cobertura de beneficiarios y evolución del presupuesto. No obstante, se identifican áreas de oportunidad para fortalecer la información relacionada con los efectos económicos del programa en los beneficiarios y mejorar la sistematización de los registros administrativos.</w:t>
      </w:r>
    </w:p>
    <w:p w14:paraId="31F36EB1" w14:textId="5E8F57FF" w:rsidR="00113BCD" w:rsidRDefault="000B5361" w:rsidP="000B5361">
      <w:pPr>
        <w:spacing w:after="0" w:line="276" w:lineRule="auto"/>
        <w:ind w:left="284"/>
        <w:jc w:val="both"/>
        <w:rPr>
          <w:lang w:val="es-ES"/>
        </w:rPr>
      </w:pPr>
      <w:r w:rsidRPr="000B5361">
        <w:rPr>
          <w:lang w:val="es-ES"/>
        </w:rPr>
        <w:t>Se recomienda fortalecer los sistemas de información del programa mediante la generación de bases de datos más completas de beneficiarios y el desarrollo de indicadores que permitan medir con mayor precisión los resultados productivos y económicos derivados de los apoyos otorgados</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0CE2B3A" w14:textId="77777777" w:rsidR="000B5361" w:rsidRDefault="000B5361" w:rsidP="000B5361">
      <w:pPr>
        <w:pStyle w:val="Prrafodelista"/>
        <w:numPr>
          <w:ilvl w:val="0"/>
          <w:numId w:val="2"/>
        </w:numPr>
        <w:spacing w:after="0" w:line="276" w:lineRule="auto"/>
        <w:ind w:left="709"/>
        <w:jc w:val="both"/>
      </w:pPr>
      <w:r>
        <w:t>Perfeccionar la planeación de metas del programa, utilizando información histórica de demanda y capacidad operativa para establecer metas más realistas y retadoras, especialmente en el indicador de cobertura.</w:t>
      </w:r>
    </w:p>
    <w:p w14:paraId="405D391F" w14:textId="77777777" w:rsidR="000B5361" w:rsidRDefault="000B5361" w:rsidP="000B5361">
      <w:pPr>
        <w:pStyle w:val="Prrafodelista"/>
        <w:numPr>
          <w:ilvl w:val="0"/>
          <w:numId w:val="2"/>
        </w:numPr>
        <w:spacing w:after="0" w:line="276" w:lineRule="auto"/>
        <w:ind w:left="709"/>
        <w:jc w:val="both"/>
      </w:pPr>
      <w:r>
        <w:t>Desarrollar indicadores que permitan medir con mayor precisión los resultados productivos y económicos derivados de los apoyos otorgados.</w:t>
      </w:r>
    </w:p>
    <w:p w14:paraId="53653287" w14:textId="77777777" w:rsidR="000B5361" w:rsidRDefault="000B5361" w:rsidP="000B5361">
      <w:pPr>
        <w:pStyle w:val="Prrafodelista"/>
        <w:numPr>
          <w:ilvl w:val="0"/>
          <w:numId w:val="2"/>
        </w:numPr>
        <w:spacing w:after="0" w:line="276" w:lineRule="auto"/>
        <w:ind w:left="709"/>
        <w:jc w:val="both"/>
      </w:pPr>
      <w:r>
        <w:t>Fortalecer los sistemas de información del programa mediante la generación de bases de datos más completas de beneficiarios.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25C0764E" w:rsidR="007C4CD6" w:rsidRPr="00521401" w:rsidRDefault="000B5361" w:rsidP="00521401">
            <w:pPr>
              <w:spacing w:after="0" w:line="276" w:lineRule="auto"/>
              <w:ind w:left="179"/>
            </w:pPr>
            <w:r w:rsidRPr="000B5361">
              <w:t>Acciones para el desarrollo pecuario</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29984A47" w:rsidR="007C4CD6" w:rsidRPr="007C4CD6" w:rsidRDefault="000B5361" w:rsidP="00521401">
            <w:pPr>
              <w:spacing w:after="0" w:line="276" w:lineRule="auto"/>
              <w:ind w:left="179"/>
            </w:pPr>
            <w:r>
              <w:t>ADP</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2B48AAF3" w:rsidR="007C4CD6" w:rsidRPr="007C4CD6" w:rsidRDefault="00456846" w:rsidP="00521401">
            <w:pPr>
              <w:spacing w:after="0" w:line="276" w:lineRule="auto"/>
              <w:ind w:left="179"/>
            </w:pPr>
            <w:r w:rsidRPr="00456846">
              <w:lastRenderedPageBreak/>
              <w:t xml:space="preserve">Secretaría </w:t>
            </w:r>
            <w:r>
              <w:t>d</w:t>
            </w:r>
            <w:r w:rsidRPr="00456846">
              <w:t xml:space="preserve">e Agricultura </w:t>
            </w:r>
            <w:r>
              <w:t>y</w:t>
            </w:r>
            <w:r w:rsidRPr="00456846">
              <w:t xml:space="preserve"> Ganadería</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1DD2E753" w:rsidR="005A28B9" w:rsidRPr="00A16BE7" w:rsidRDefault="00456846"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503D52">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57C5EFE5" w:rsidR="00090637" w:rsidRPr="00090637" w:rsidRDefault="00B842EB"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RPr="008C037A" w14:paraId="216FE23E" w14:textId="77777777" w:rsidTr="00503D52">
        <w:trPr>
          <w:trHeight w:val="340"/>
        </w:trPr>
        <w:tc>
          <w:tcPr>
            <w:tcW w:w="9910" w:type="dxa"/>
            <w:gridSpan w:val="3"/>
          </w:tcPr>
          <w:p w14:paraId="7091B8EA" w14:textId="4EF61E3F" w:rsidR="005065B9" w:rsidRPr="008C037A" w:rsidRDefault="00B842EB" w:rsidP="005065B9">
            <w:pPr>
              <w:spacing w:after="0" w:line="276" w:lineRule="auto"/>
              <w:ind w:left="179"/>
              <w:rPr>
                <w:lang w:val="en-US"/>
              </w:rPr>
            </w:pPr>
            <w:r w:rsidRPr="008C037A">
              <w:rPr>
                <w:lang w:val="en-US"/>
              </w:rPr>
              <w:t>Lic. David Julián Gastelum George</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03D52">
        <w:trPr>
          <w:trHeight w:val="340"/>
        </w:trPr>
        <w:tc>
          <w:tcPr>
            <w:tcW w:w="9910" w:type="dxa"/>
            <w:gridSpan w:val="3"/>
          </w:tcPr>
          <w:p w14:paraId="54E4AA94" w14:textId="064970F5" w:rsidR="00A4624B" w:rsidRPr="007301C5" w:rsidRDefault="00503D52" w:rsidP="00A4624B">
            <w:pPr>
              <w:spacing w:after="0" w:line="276" w:lineRule="auto"/>
              <w:ind w:left="179"/>
            </w:pPr>
            <w:hyperlink r:id="rId9" w:history="1">
              <w:r w:rsidRPr="00A62FED">
                <w:rPr>
                  <w:rStyle w:val="Hipervnculo"/>
                </w:rPr>
                <w:t>david.gastelum@sinaloa.gob.mx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503D52">
        <w:trPr>
          <w:trHeight w:val="340"/>
        </w:trPr>
        <w:tc>
          <w:tcPr>
            <w:tcW w:w="9910" w:type="dxa"/>
            <w:gridSpan w:val="3"/>
            <w:vAlign w:val="center"/>
          </w:tcPr>
          <w:p w14:paraId="138DA773" w14:textId="785B08A8" w:rsidR="004E1FF7" w:rsidRPr="007301C5" w:rsidRDefault="00B842EB" w:rsidP="004E1FF7">
            <w:pPr>
              <w:spacing w:after="0" w:line="276" w:lineRule="auto"/>
              <w:ind w:left="179"/>
            </w:pPr>
            <w:r>
              <w:t>Dirección de Fomento Ganadero</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503D52">
        <w:trPr>
          <w:trHeight w:val="340"/>
        </w:trPr>
        <w:tc>
          <w:tcPr>
            <w:tcW w:w="9910" w:type="dxa"/>
            <w:gridSpan w:val="3"/>
          </w:tcPr>
          <w:p w14:paraId="6F19C066" w14:textId="42151E7A" w:rsidR="004E1FF7" w:rsidRPr="007301C5" w:rsidRDefault="00503D52" w:rsidP="004E1FF7">
            <w:pPr>
              <w:spacing w:after="0" w:line="276" w:lineRule="auto"/>
              <w:ind w:left="179"/>
            </w:pPr>
            <w:r>
              <w:t>(</w:t>
            </w:r>
            <w:r w:rsidR="00B842EB" w:rsidRPr="00B842EB">
              <w:t>667</w:t>
            </w:r>
            <w:r>
              <w:t>)</w:t>
            </w:r>
            <w:r w:rsidR="00B842EB" w:rsidRPr="00B842EB">
              <w:t xml:space="preserve"> 758</w:t>
            </w:r>
            <w:r>
              <w:t xml:space="preserve"> </w:t>
            </w:r>
            <w:r w:rsidR="00B842EB" w:rsidRPr="00B842EB">
              <w:t>71</w:t>
            </w:r>
            <w:r>
              <w:t xml:space="preserve"> </w:t>
            </w:r>
            <w:r w:rsidR="00B842EB" w:rsidRPr="00B842EB">
              <w:t>70 y (667) 758</w:t>
            </w:r>
            <w:r>
              <w:t xml:space="preserve"> </w:t>
            </w:r>
            <w:r w:rsidR="00B842EB" w:rsidRPr="00B842EB">
              <w:t>70</w:t>
            </w:r>
            <w:r>
              <w:t xml:space="preserve"> </w:t>
            </w:r>
            <w:r w:rsidR="00B842EB" w:rsidRPr="00B842EB">
              <w:t>00 Ext</w:t>
            </w:r>
            <w:r>
              <w:t>.</w:t>
            </w:r>
            <w:r w:rsidR="00B842EB" w:rsidRPr="00B842EB">
              <w:t xml:space="preserve"> 40485</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3327319C" w:rsidR="00456846" w:rsidRDefault="00456846"/>
    <w:p w14:paraId="01A70BF0" w14:textId="77777777" w:rsidR="00456846" w:rsidRDefault="00456846">
      <w:pPr>
        <w:spacing w:after="0" w:line="240" w:lineRule="auto"/>
      </w:pPr>
      <w:r>
        <w:br w:type="page"/>
      </w:r>
    </w:p>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16C2" w14:textId="77777777" w:rsidR="0087588C" w:rsidRDefault="0087588C" w:rsidP="008E5209">
      <w:pPr>
        <w:spacing w:after="0" w:line="240" w:lineRule="auto"/>
      </w:pPr>
      <w:r>
        <w:separator/>
      </w:r>
    </w:p>
  </w:endnote>
  <w:endnote w:type="continuationSeparator" w:id="0">
    <w:p w14:paraId="1C48DB5F" w14:textId="77777777" w:rsidR="0087588C" w:rsidRDefault="0087588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1BE74C23"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842EB">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33D21115"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842EB" w:rsidRPr="00B842EB">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3CA1" w14:textId="77777777" w:rsidR="0087588C" w:rsidRDefault="0087588C" w:rsidP="008E5209">
      <w:pPr>
        <w:spacing w:after="0" w:line="240" w:lineRule="auto"/>
      </w:pPr>
      <w:r>
        <w:separator/>
      </w:r>
    </w:p>
  </w:footnote>
  <w:footnote w:type="continuationSeparator" w:id="0">
    <w:p w14:paraId="5A730340" w14:textId="77777777" w:rsidR="0087588C" w:rsidRDefault="0087588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282764323">
    <w:abstractNumId w:val="23"/>
  </w:num>
  <w:num w:numId="2" w16cid:durableId="642393246">
    <w:abstractNumId w:val="21"/>
  </w:num>
  <w:num w:numId="3" w16cid:durableId="1877036514">
    <w:abstractNumId w:val="7"/>
  </w:num>
  <w:num w:numId="4" w16cid:durableId="403727851">
    <w:abstractNumId w:val="19"/>
  </w:num>
  <w:num w:numId="5" w16cid:durableId="543371263">
    <w:abstractNumId w:val="2"/>
    <w:lvlOverride w:ilvl="1">
      <w:lvl w:ilvl="1">
        <w:start w:val="1"/>
        <w:numFmt w:val="decimal"/>
        <w:lvlText w:val="%1.%2."/>
        <w:lvlJc w:val="left"/>
        <w:pPr>
          <w:ind w:left="792" w:hanging="432"/>
        </w:pPr>
        <w:rPr>
          <w:b/>
        </w:rPr>
      </w:lvl>
    </w:lvlOverride>
  </w:num>
  <w:num w:numId="6" w16cid:durableId="146744902">
    <w:abstractNumId w:val="27"/>
  </w:num>
  <w:num w:numId="7" w16cid:durableId="453643740">
    <w:abstractNumId w:val="28"/>
  </w:num>
  <w:num w:numId="8" w16cid:durableId="49038574">
    <w:abstractNumId w:val="29"/>
  </w:num>
  <w:num w:numId="9" w16cid:durableId="1041980025">
    <w:abstractNumId w:val="20"/>
  </w:num>
  <w:num w:numId="10" w16cid:durableId="1459646651">
    <w:abstractNumId w:val="12"/>
  </w:num>
  <w:num w:numId="11" w16cid:durableId="1432355420">
    <w:abstractNumId w:val="14"/>
  </w:num>
  <w:num w:numId="12" w16cid:durableId="1576552512">
    <w:abstractNumId w:val="26"/>
  </w:num>
  <w:num w:numId="13" w16cid:durableId="738674975">
    <w:abstractNumId w:val="25"/>
  </w:num>
  <w:num w:numId="14" w16cid:durableId="515703523">
    <w:abstractNumId w:val="22"/>
  </w:num>
  <w:num w:numId="15" w16cid:durableId="1082020013">
    <w:abstractNumId w:val="16"/>
  </w:num>
  <w:num w:numId="16" w16cid:durableId="58332780">
    <w:abstractNumId w:val="4"/>
  </w:num>
  <w:num w:numId="17" w16cid:durableId="2008899774">
    <w:abstractNumId w:val="6"/>
  </w:num>
  <w:num w:numId="18" w16cid:durableId="1380547126">
    <w:abstractNumId w:val="17"/>
  </w:num>
  <w:num w:numId="19" w16cid:durableId="1346129122">
    <w:abstractNumId w:val="15"/>
  </w:num>
  <w:num w:numId="20" w16cid:durableId="1430001819">
    <w:abstractNumId w:val="5"/>
  </w:num>
  <w:num w:numId="21" w16cid:durableId="231282275">
    <w:abstractNumId w:val="3"/>
  </w:num>
  <w:num w:numId="22" w16cid:durableId="1381051397">
    <w:abstractNumId w:val="13"/>
  </w:num>
  <w:num w:numId="23" w16cid:durableId="2025210563">
    <w:abstractNumId w:val="24"/>
  </w:num>
  <w:num w:numId="24" w16cid:durableId="1514415338">
    <w:abstractNumId w:val="11"/>
  </w:num>
  <w:num w:numId="25" w16cid:durableId="2035885940">
    <w:abstractNumId w:val="18"/>
  </w:num>
  <w:num w:numId="26" w16cid:durableId="1313868887">
    <w:abstractNumId w:val="8"/>
  </w:num>
  <w:num w:numId="27" w16cid:durableId="1330449582">
    <w:abstractNumId w:val="10"/>
  </w:num>
  <w:num w:numId="28" w16cid:durableId="246378816">
    <w:abstractNumId w:val="0"/>
  </w:num>
  <w:num w:numId="29" w16cid:durableId="1541161997">
    <w:abstractNumId w:val="9"/>
  </w:num>
  <w:num w:numId="30" w16cid:durableId="62724660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5361"/>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56846"/>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3D52"/>
    <w:rsid w:val="0050641D"/>
    <w:rsid w:val="005065B9"/>
    <w:rsid w:val="00510CF9"/>
    <w:rsid w:val="00514983"/>
    <w:rsid w:val="00521401"/>
    <w:rsid w:val="00530B95"/>
    <w:rsid w:val="00531BE3"/>
    <w:rsid w:val="00531C3D"/>
    <w:rsid w:val="005369D7"/>
    <w:rsid w:val="00537ED3"/>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3BEF"/>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410AE"/>
    <w:rsid w:val="0085511A"/>
    <w:rsid w:val="00855D89"/>
    <w:rsid w:val="00857815"/>
    <w:rsid w:val="0085799F"/>
    <w:rsid w:val="00860E2B"/>
    <w:rsid w:val="0086126F"/>
    <w:rsid w:val="00862223"/>
    <w:rsid w:val="00866990"/>
    <w:rsid w:val="008726E2"/>
    <w:rsid w:val="00874C99"/>
    <w:rsid w:val="0087588C"/>
    <w:rsid w:val="0088276D"/>
    <w:rsid w:val="00882D04"/>
    <w:rsid w:val="008905B0"/>
    <w:rsid w:val="00890761"/>
    <w:rsid w:val="0089095B"/>
    <w:rsid w:val="008A0BCB"/>
    <w:rsid w:val="008A0CB2"/>
    <w:rsid w:val="008C037A"/>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2E6E"/>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42EB"/>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D7CC6"/>
    <w:rsid w:val="00BE1BAD"/>
    <w:rsid w:val="00BE4329"/>
    <w:rsid w:val="00BE7166"/>
    <w:rsid w:val="00BF043E"/>
    <w:rsid w:val="00BF1C9C"/>
    <w:rsid w:val="00BF1F13"/>
    <w:rsid w:val="00BF25EA"/>
    <w:rsid w:val="00BF400F"/>
    <w:rsid w:val="00BF63B3"/>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E79F6"/>
    <w:rsid w:val="00CF511B"/>
    <w:rsid w:val="00CF57AE"/>
    <w:rsid w:val="00D00AAC"/>
    <w:rsid w:val="00D10D79"/>
    <w:rsid w:val="00D1436F"/>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503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gastelum@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97C7-1A4E-4B63-B13D-D136C0B3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36</TotalTime>
  <Pages>6</Pages>
  <Words>1887</Words>
  <Characters>10383</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2022-06-17T19:35:00Z</cp:lastPrinted>
  <dcterms:created xsi:type="dcterms:W3CDTF">2026-05-04T16:01:00Z</dcterms:created>
  <dcterms:modified xsi:type="dcterms:W3CDTF">2026-05-06T19:38:00Z</dcterms:modified>
</cp:coreProperties>
</file>